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天津渤海轻工投资集团有限公司</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经市委、市政府批准，2014年由天津一轻集团、天津二轻集团重组整合成立的市管国有重要骨干企业,核心 职责是做强做优轻工先进制造及品牌运营、资产经营与管理两大主责主业，履行国有资本投资运营、产业引领、资产盘活、合规风控等综合职能。推动传统轻工产业（食品饮料、精密机械、日化、文体用品等）高端化、绿色化、智能化改造提升、振兴中华老字号、布局新兴产业、开展合资合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部门（内设13个职能处室）和5个所属预算单位（不含本级），具体构成如下：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1.天津渤海轻工投资集团有限公司（本级）</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2.天津现代职业技术学院</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3.天津轻工职业技术学院</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4.天津市第一轻工业学校</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5.天津市轻工装备研究所</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6.天津市轻工信息研究所</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天津渤海轻工投资集团有限公司</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532682341.84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100980000.00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746167067.49</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137582923.20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259200.00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36469995.28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25427600.00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48222546.25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819467811.29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808349962.77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3712561.07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4596253.76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12001541.21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4596253.76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824064065.05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824064065.05</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819467811.29</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633662341.84</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137582923.20</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137582923.20</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48222546.25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757284916.01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588664946.56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120397423.20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120397423.20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48222546.25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656304916.01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487684946.56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120397423.20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120397423.20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48222546.25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中等职业教育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86230337.94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79566980.00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263496.47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570074578.07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408117966.56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113997561.73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113997561.73</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47959049.78</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100980000.00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100980000.00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100980000.00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100980000.00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转制科研机构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259200.00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36469995.28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24738895.28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34277248.48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22546148.48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行政单位离退休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21790600.00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13572000.00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8218600.00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8218600.00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10298500.00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6786000.00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3512500.00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3512500.00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25427600.00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19973200.00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25427600.00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19973200.00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19711300.00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15171900.00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4539400.00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4539400.00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5521000.00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4606000.00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915000.00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915000.00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天津渤海轻工投资集团有限公司</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824064065.05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819467811.29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532682341.84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100980000.00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137582923.20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48222546.25</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706203</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天津市第一轻工业学校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96204337.94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96204337.94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89540980.00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6399861.47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263496.47</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天津现代职业技术学院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348177460.24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343581206.48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201099646.56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51550000.00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69681850.55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21249709.37</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706205</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天津轻工职业技术学院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368841071.59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368841071.59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231200520.00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49430000.00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61501211.18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26709340.41</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706909</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天津市轻工装备研究所</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706906</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天津市轻工信息研究所</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天津渤海轻工投资集团有限公司（本级）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天津渤海轻工投资集团有限公司</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706203</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天津市第一轻工业学校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706201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天津现代职业技术学院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706205</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天津轻工职业技术学院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706909</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天津市轻工装备研究所</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706906</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天津市轻工信息研究所</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706901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天津渤海轻工投资集团有限公司（本级）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808349962.77</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532411453.12</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275938509.65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746167067.49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472447404.64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273719662.85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645187067.49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472447404.64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172739662.85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2050302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中等职业教育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86140814.78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71947834.78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2050305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高等职业教育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559046252.71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400499569.86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158546682.85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100980000.00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100980000.00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2059803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100980000.00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100980000.00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2069903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转制科研机构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259200.00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36469995.28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34277248.48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34277248.48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34277248.48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行政单位离退休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21790600.00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21790600.00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10298500.00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10298500.00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25427600.00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25427600.00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25427600.00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25427600.00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19711300.00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19711300.00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5521000.00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5521000.00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532682341.84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100980000.00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588664946.56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487684946.56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100980000.00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259200.00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259200.00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24738895.28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24738895.28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19973200.00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19973200.00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26100.00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26100.00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633662341.84</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633662341.84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532682341.84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100980000.00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633662341.84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633662341.84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532682341.84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100980000.00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天津渤海轻工投资集团有限公司</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532682341.84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394418365.04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313327365.04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81091000.00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138263976.80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487684946.56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351639816.56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270583816.56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81056000.00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136045130.00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20503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487684946.56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351639816.56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270583816.56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81056000.00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136045130.00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2050302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中等职业教育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79566980.00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65374000.00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54480000.00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10894000.00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14192980.00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2050305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高等职业教育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408117966.56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286265816.56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216103816.56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70162000.00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121852150.00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2069903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转制科研机构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259200.00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24738895.28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22546148.48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22511148.48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22546148.48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22546148.48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22511148.48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行政单位离退休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2153148.48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13572000.00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13572000.00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13572000.00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2192746.80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2192746.80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19973200.00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15171900.00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15171900.00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15171900.00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26100.00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294229395.62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80911769.49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50855265.58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1104135.04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179230.51</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18548099.00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12515.85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132930.51</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2707265.95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127910920.35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4471934.47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13572000.00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1368348.28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6786000.00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46300.00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8906000.00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19870840.95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731238.56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56511872.13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9011332.66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1242000.00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9166000.00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19097969.42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1857411.44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7385249.58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1292794.39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30108.40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22884431.98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4744873.17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9825200.00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3279693.98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647660.86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4784.16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114.73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2781043.02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313327365.04</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81091000.00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100980000.00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100980000.00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100980000.00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2059803</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职业教育</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天津渤海轻工投资集团有限公司2025年度国有资本经营预算财政拨款收入支出决算表为空表。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天津渤海轻工投资集团有限公司2025年财政拨款“三公”经费支出决算表为空表。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275938509.65</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138263976.80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100980000.00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12700000.00</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23994532.85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273719662.85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136045130.00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23994532.85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172739662.85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136045130.00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23994532.85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中等职业教育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高等职业教育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158546682.85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121852150.00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23994532.85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100980000.00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824,064,065.05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增加142,372,819.55元，增长20.89%</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一般公共预算财政拨款收入532,682,341.84元、政府性基金预算财政拨款收入100,980,000.00元、财政专户管理资金收入137,582,923.20元、其他收入48,222,546.25元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教育支出746,167,067.49元、科学技术支出259,200.00元、社会保障和就业支出36,469,995.28元、卫生健康支出25,427,600.00元、债务付息支出26,100.00元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819,467,811.29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增加150,630,244.37元，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一般公共预算财政拨款收入532,682,341.84元，占65.00%；政府性基金预算财政拨款收入100,980,000.00元，占12.32%；财政专户管理资金收入137,582,923.20元，占16.79%；其他收入48,222,546.25元，占5.88%</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808,349,962.77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增加139,314,447.42元，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基本支出532,411,453.12元，占65.86%；项目支出275,938,509.65元，占34.14%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633,662,341.84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增加151,718,845.74元，增长31.48%，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一般公共预算财政拨款532,682,341.84元、政府性基金预算财政拨款100,980,000.00元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教育支出588,664,946.56元、科学技术支出259,200.00元、社会保障和就业支出24,738,895.28元、卫生健康支出19,973,200.00元、债务付息支出26,100.00元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天津渤海轻工投资集团有限公司2025年度一般公共预算财政拨款支出合计532,682,341.84元，占本年支出合计的65.90%。与2024年度相比，一般公共预算财政拨款支出</w:t>
      </w:r>
      <w:r>
        <w:rPr>
          <w:rFonts w:eastAsia="仿宋_GB2312" w:hint="eastAsia"/>
          <w:sz w:val="30"/>
          <w:szCs w:val="30"/>
          <w:highlight w:val="none"/>
          <w:lang w:val="en-US" w:eastAsia="zh-CN"/>
        </w:rPr>
        <w:t xml:space="preserve">增加50,738,845.74元</w:t>
      </w:r>
      <w:r>
        <w:rPr>
          <w:rFonts w:eastAsia="仿宋_GB2312" w:hint="eastAsia"/>
          <w:sz w:val="30"/>
          <w:szCs w:val="30"/>
          <w:highlight w:val="none"/>
          <w:lang w:val="en-US" w:eastAsia="zh-CN"/>
        </w:rPr>
        <w:t xml:space="preserve">，增长10.53%</w:t>
      </w:r>
      <w:r>
        <w:rPr>
          <w:rFonts w:eastAsia="仿宋_GB2312" w:hint="eastAsia"/>
          <w:sz w:val="30"/>
          <w:szCs w:val="30"/>
          <w:highlight w:val="none"/>
          <w:lang w:val="en-US" w:eastAsia="zh-CN"/>
        </w:rPr>
        <w:t xml:space="preserve">，主要原因是现代职业教育质量提升计划资金-2025年中央专款、支持教育事业发展-“双高计划”建设项目（2025年）等财政拨款项目增加。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2025年度一般公共预算财政拨款支出532,682,341.84元，主要用于以下方面：</w:t>
      </w:r>
      <w:r>
        <w:rPr>
          <w:rFonts w:eastAsia="仿宋_GB2312" w:hint="eastAsia"/>
          <w:sz w:val="30"/>
          <w:szCs w:val="30"/>
          <w:highlight w:val="none"/>
        </w:rPr>
        <w:t xml:space="preserve">教育支出（类）支出487,684,946.56元，占91.55%，科学技术支出（类）支出259,200.00元，占0.05%，社会保障和就业支出（类）支出24,738,895.28元，占4.64%，卫生健康支出（类）支出19,973,200.00元，占3.75%，债务付息支出（类）支出26,100.00元，占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2025年度一般公共预算财政拨款支出年初预算为451,732,000.00元，支出决算为532,682,341.84元</w:t>
      </w:r>
      <w:r>
        <w:rPr>
          <w:rFonts w:eastAsia="仿宋_GB2312" w:hint="eastAsia"/>
          <w:sz w:val="30"/>
          <w:szCs w:val="30"/>
          <w:highlight w:val="none"/>
          <w:lang w:val="en-US" w:eastAsia="zh-CN"/>
        </w:rPr>
        <w:t xml:space="preserve">，完成年初预算的117.92%</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1.教育支出（类）职业教育（款）中等职业教育（项）年初预算为80,676,000.00元，支出决算为79,566,980.00元，完成年初预算的98.63%，决算数小于年初预算数的主要原因是：享受学生资助政策人数减少。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教育支出（类）职业教育（款）高等职业教育（项）年初预算为334,507,900.00元，支出决算为408,117,966.56元，完成年初预算的122.01%，决算数大于年初预算数的主要原因是：年中追加现代职业教育质量提升计划资金-2025年中央专款、支持教育事业发展-“双高计划”建设项目（2025年）等财政拨款项目资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3.科学技术支出（类）其他科学技术支出（款）转制科研机构（项）年初预算为265,000.00元，支出决算为259,200.00元，完成年初预算的97.81%，决算数小于年初预算数的主要原因是：退休人员自然减员。</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行政单位离退休（项）年初预算为2,207,000.00元，支出决算为2,188,148.48元，完成年初预算的99.15%，决算数小于年初预算数的主要原因是：离退休人员自然减员。</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基本养老保险缴费支出（项）年初预算为13,572,000.00元，支出决算为13,572,000.00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社会保障和就业支出（类）行政事业单位养老支出（款）机关事业单位职业年金缴费支出（项）年初预算为6,786,000.00元，支出决算为6,786,000.00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7.社会保障和就业支出（类）其他社会保障和就业支出（款）其他社会保障和就业支出（项）年初预算为0.00元，支出决算为2,192,746.80元，决算数大于年初预算数的主要原因是：年中追加离休人员抚恤金。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行政单位医疗（项）年初预算为100,000.00元，支出决算为195,300.00元，完成年初预算的195.30%，决算数大于年初预算数的主要原因是：行政单位离休人员医疗保障支出按实际情况据实列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卫生健康支出（类）行政事业单位医疗（款）事业单位医疗（项）年初预算为8,986,000.00元，支出决算为15,171,900.00元，完成年初预算的168.84%，决算数大于年初预算数的主要原因是：事业单位离休人员医疗保障支出按实际情况据实列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10.卫生健康支出（类）行政事业单位医疗（款）其他行政事业单位医疗支出（项）年初预算为4,606,000.00元，支出决算为4,606,000.00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11.债务付息支出（类）地方政府一般债务付息支出（款）地方政府一般债券付息支出（项）年初预算为26,100.00元，支出决算为26,100.00元，完成年初预算的100.00%，决算数与年初预算数持平的主要原因是：按付息计划足额按期支付，全年实际付息总额与预算完全匹配。</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天津渤海轻工投资集团有限公司2025年度一般公共预算财政拨款基本支出合计394,418,365.04元，与2024年度相比</w:t>
      </w:r>
      <w:r>
        <w:rPr>
          <w:rFonts w:eastAsia="仿宋_GB2312" w:hint="eastAsia"/>
          <w:sz w:val="30"/>
          <w:szCs w:val="30"/>
          <w:highlight w:val="none"/>
          <w:lang w:val="en-US" w:eastAsia="zh-CN"/>
        </w:rPr>
        <w:t xml:space="preserve">增加3,620,437.94元，</w:t>
      </w:r>
      <w:r>
        <w:rPr>
          <w:rFonts w:eastAsia="仿宋_GB2312" w:hint="eastAsia"/>
          <w:sz w:val="30"/>
          <w:szCs w:val="30"/>
          <w:highlight w:val="none"/>
          <w:lang w:val="en-US" w:eastAsia="zh-CN"/>
        </w:rPr>
        <w:t xml:space="preserve">主要原因是学生人数增加导致人员经费及公用经费较上年增长。</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人员经费313,327,365.04元，主要包括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基本工资、津贴补贴、绩效工资、机关事业单位基本养老保险缴费、职业年金缴费、职工基本医疗保险缴费、其他社会保障缴费、住房公积金、医疗费、其他工资福利支出、离休费、退休费、抚恤金、医疗费补助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公用经费81,091,000.00元，主要包括</w:t>
      </w:r>
      <w:r>
        <w:rPr>
          <w:rFonts w:eastAsia="仿宋_GB2312" w:hint="eastAsia"/>
          <w:sz w:val="30"/>
          <w:szCs w:val="30"/>
          <w:highlight w:val="none"/>
          <w:lang w:val="en-US" w:eastAsia="zh-CN"/>
        </w:rPr>
        <w:t xml:space="preserve">办公费、印刷费、水费、电费、邮电费、取暖费、物业管理费、维修(护)费、专用材料费、劳务费、委托业务费、工会经费、福利费、其他交通费用、税金及附加费用、其他商品和服务支出、办公设备购置、信息网络及软件购置更新</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楷体" w:hint="eastAsia"/>
          <w:b/>
          <w:bCs/>
          <w:sz w:val="30"/>
          <w:szCs w:val="30"/>
          <w:highlight w:val="none"/>
          <w:lang w:val="en-US" w:eastAsia="zh-CN"/>
        </w:rPr>
      </w:pPr>
      <w:r>
        <w:rPr>
          <w:rFonts w:ascii="楷体" w:eastAsia="楷体" w:hAnsi="楷体" w:cs="楷体" w:hint="eastAsia"/>
          <w:b/>
          <w:bCs/>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天津渤海轻工投资集团有限公司2025年度政府性基金预算财政拨款年初结转和结余0.00元，收入100,980,000.00元，支出100,980,000.00元，年末结转和结余0.00元。与2024年度相比，政府性基金预算财政拨款支出</w:t>
      </w:r>
      <w:r>
        <w:rPr>
          <w:rFonts w:eastAsia="仿宋_GB2312" w:hint="eastAsia"/>
          <w:sz w:val="30"/>
          <w:szCs w:val="30"/>
          <w:highlight w:val="none"/>
          <w:lang w:val="en-US" w:eastAsia="zh-CN"/>
        </w:rPr>
        <w:t xml:space="preserve">增加100,980,000.00元，</w:t>
      </w:r>
      <w:r>
        <w:rPr>
          <w:rFonts w:eastAsia="仿宋_GB2312" w:hint="eastAsia"/>
          <w:sz w:val="30"/>
          <w:szCs w:val="30"/>
          <w:highlight w:val="none"/>
          <w:lang w:val="en-US" w:eastAsia="zh-CN"/>
        </w:rPr>
        <w:t xml:space="preserve">主要原因是项目收入、支出增加。</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2025年度政府性基金预算财政拨款支出100,980,000.00元，主要用于以下方面：</w:t>
      </w:r>
      <w:r>
        <w:rPr>
          <w:rFonts w:eastAsia="仿宋_GB2312" w:hint="eastAsia"/>
          <w:sz w:val="28"/>
          <w:szCs w:val="28"/>
          <w:highlight w:val="none"/>
        </w:rPr>
        <w:t xml:space="preserve">教育支出（类）支出100,980,000.00元，占100.00%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2025年度政府性基金预算财政拨款支出年初预算为0.00元，支出决算为100,980,000.00元</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1.教育支出（类）超长期特别国债安排的支出（款）职业教育（项）年初预算为0.00元，支出决算为100,980,000.00元，决算数大于年初预算数的主要原因是：年中追加项目资金。</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2025年政府采购支出总额219,632,397.70元，其中：政府采购货物支出171,276,931.60元、政府采购工程支出9,194,828.00元、政府采购服务支出39,160,638.10元。授予中小企业合同金额168,286,530.00元，占政府采购支出总额的76.62%，其中：授予小微企业合同金额99,340,317.84元，占政府采购支出总额的45.23%；货物采购授予中小企业合同金额占货物支出金额的73.28%，工程采购授予中小企业合同金额占工程支出金额的100.00%，服务采购授予中小企业合同金额占服务支出金额的85.74%。</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截至2025年12月31日，天津渤海轻工投资集团有限公司共有车辆12辆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其他用车12辆</w:t>
      </w:r>
      <w:r>
        <w:rPr>
          <w:rFonts w:eastAsia="仿宋_GB2312" w:hint="eastAsia"/>
          <w:sz w:val="30"/>
          <w:szCs w:val="30"/>
          <w:highlight w:val="none"/>
          <w:lang w:val="en-US" w:eastAsia="zh-CN"/>
        </w:rPr>
        <w:t xml:space="preserve">，其他用车主要包括办公用车</w:t>
      </w:r>
      <w:r>
        <w:rPr>
          <w:rFonts w:eastAsia="仿宋_GB2312" w:hint="eastAsia"/>
          <w:sz w:val="30"/>
          <w:szCs w:val="30"/>
          <w:highlight w:val="none"/>
          <w:lang w:val="en-US" w:eastAsia="zh-CN"/>
        </w:rPr>
        <w:t xml:space="preserve">。单价100万元以上的设备102台（套）。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天津渤海轻工投资集团有限公司已对42个2025年度市级项目开展绩效自评，涉及金额138,264,346.80元，自评结果已随部门决算一并公开。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天津渤海轻工投资集团有限公司不属于乡、镇、街级单位，不涉及公开2025年度教育、医疗卫生、社会保障和就业、住房保障、涉农补贴等民生支出情况。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CBDFC9E8-8017-457F-B2A1-910439AA2973}"/>
    <w:embedBold r:id="rId2" w:subsetted="1" w:fontKey="{54E763D0-ECFF-425C-8B02-C07A02970D94}"/>
  </w:font>
  <w:font w:name="Cambria">
    <w:panose1 w:val="02040503050406030204"/>
    <w:charset w:val="00"/>
    <w:family w:val="roman"/>
    <w:pitch w:val="default"/>
    <w:sig w:usb0="E00006FF" w:usb1="420024FF" w:usb2="02000000" w:usb3="00000000" w:csb0="2000019F" w:csb1="00000000"/>
    <w:embedRegular r:id="rId3" w:fontKey="{4884B285-2428-482C-A0ED-75A5A942BC36}"/>
  </w:font>
  <w:font w:name="Calibri">
    <w:panose1 w:val="020F0502020204030204"/>
    <w:charset w:val="00"/>
    <w:family w:val="swiss"/>
    <w:pitch w:val="default"/>
    <w:sig w:usb0="E4002EFF" w:usb1="C200247B" w:usb2="00000009" w:usb3="00000000" w:csb0="200001FF" w:csb1="00000000"/>
    <w:embedRegular r:id="rId4" w:fontKey="{C1198E54-4100-495C-A61D-7D732516AFF8}"/>
  </w:font>
  <w:font w:name="黑体">
    <w:panose1 w:val="02010609060101010101"/>
    <w:charset w:val="FFFFFF86"/>
    <w:family w:val="auto"/>
    <w:pitch w:val="default"/>
    <w:sig w:usb0="800002BF" w:usb1="38CF7CFA" w:usb2="00000016" w:usb3="00000000" w:csb0="00040001" w:csb1="00000000"/>
    <w:embedRegular r:id="rId5" w:subsetted="1" w:fontKey="{9E0AEAE7-16D0-41EB-BA18-A88E96DD82A8}"/>
    <w:embedBold r:id="rId6" w:subsetted="1" w:fontKey="{C14F9E36-1380-4866-9F9A-4C278461AD5E}"/>
  </w:font>
  <w:font w:name="方正小标宋简体">
    <w:altName w:val="黑体"/>
    <w:panose1 w:val="02000000000000000000"/>
    <w:charset w:val="FFFFFF86"/>
    <w:family w:val="auto"/>
    <w:pitch w:val="default"/>
    <w:sig w:usb0="00000001" w:usb1="08000000" w:usb2="00000000" w:usb3="00000000" w:csb0="00040000" w:csb1="00000000"/>
    <w:embedRegular r:id="rId7" w:fontKey="{A1A281CB-75B3-4696-96C1-C6A298DEA8B2}"/>
    <w:embedBold r:id="rId8" w:fontKey="{BC189627-D79C-43C3-805C-CA761AA607A6}"/>
  </w:font>
  <w:font w:name="仿宋">
    <w:panose1 w:val="02010609060101010101"/>
    <w:charset w:val="FFFFFF86"/>
    <w:family w:val="auto"/>
    <w:pitch w:val="default"/>
    <w:sig w:usb0="800002BF" w:usb1="38CF7CFA" w:usb2="00000016" w:usb3="00000000" w:csb0="00040001" w:csb1="00000000"/>
    <w:embedRegular r:id="rId9" w:subsetted="1" w:fontKey="{3F842919-2356-4787-9CA8-C8FD7A59915C}"/>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B0A50316-D4F4-4DC9-AEA9-A309101F5401}"/>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599E16D3-7738-48F1-B05A-6C4D38EF0969}"/>
    <w:embedBold r:id="rId12" w:subsetted="1" w:fontKey="{75D58794-9509-483D-B27D-87A61CC844D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32</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35</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