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天津渤海轻工投资集团有限公司（本级）</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渤海轻工投资集团有限公司是经市委、市政府批准，2014年由天津一轻集团、天津二轻集团重组整合成立的市管国有重要骨干企业,核心职责是做强做优轻工先进制造及品牌运营、资产经营与管理两大主责主业，履行国有资本投资运营、产业引领、资产盘活、合规风控等综合职能。推动传统轻工产业（食品饮料、精密机械、日化、文体用品等）高端化、绿色化、智能化改造提升、振兴中华老字号、布局新兴产业、开展合资合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天津渤海轻工投资集团有限公司（本级）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部门本级（内设13个职能处室）和0个所属预算单位</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（不含本级），具体构成如下：</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1.天津渤海轻工投资集团有限公司本级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天津渤海轻工投资集团有限公司（本级）</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4380895.28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6201100.00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4380895.28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4380895.28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2188148.48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2188148.48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行政单位离退休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2188148.48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2188148.48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2192746.80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6201100.00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6201100.00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6201100.00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6201100.00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195300.00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195300.00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6005800.00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6005800.00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天津渤海轻工投资集团有限公司（本级）</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10581995.28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10581995.28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10581995.28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天津渤海轻工投资集团有限公司（本级）</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10581995.28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10581995.28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10581995.28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天津渤海轻工投资集团有限公司（本级）</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天津渤海轻工投资集团有限公司（本级）</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10581995.28</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8389248.48</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2192746.80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4380895.28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行政单位离退休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195300.00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195300.00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6005800.00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6005800.00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10581995.28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4380895.28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4380895.28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6201100.00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6201100.00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10581995.28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10581995.28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10581995.28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10581995.28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10581995.28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10581995.28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天津渤海轻工投资集团有限公司（本级）</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10581995.28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8389248.48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8354248.48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2192746.80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4380895.28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2153148.48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2153148.48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行政单位离退休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2188148.48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2153148.48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2192746.80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6201100.00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195300.00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6005800.00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6005800.00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6005800.00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8354248.48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1192594.88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960553.60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6201100.00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8354248.48</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35000.00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天津渤海轻工投资集团有限公司（本级）2025年度政府性基金预算财政拨款收入支出决算表为空表。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天津渤海轻工投资集团有限公司（本级）2025年度国有资本经营预算财政拨款收入支出决算表为空表。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天津渤海轻工投资集团有限公司（本级）2025年财政拨款“三公”经费支出决算表为空表。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天津渤海轻工投资集团有限公司（本级）</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2192746.80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2192746.80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其他社会保障与就业支出（抚恤金支出）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2192746.80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10,581,995.28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减少1,199,682.40元，下降10.18%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离退休人员自然减员</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一般公共预算财政拨款收入10,581,995.28元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社会保障和就业支出4,380,895.28元、卫生健康支出6,201,100.00元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天津渤海轻工投资集团有限公司（本级）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10,581,995.28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减少1,199,682.40元，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离退休人员自然减员</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一般公共预算财政拨款收入10,581,995.28元，占100.00%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天津渤海轻工投资集团有限公司（本级）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10,581,995.28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减少1,199,682.40元，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离退休人员自然减员</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基本支出8,389,248.48元，占79.28%；项目支出2,192,746.80元，占20.72%</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10,581,995.28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减少1,199,682.40元，下降10.18%，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离退休人员自然减员</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一般公共预算财政拨款10,581,995.28元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社会保障和就业支出4,380,895.28元、卫生健康支出6,201,100.00元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天津渤海轻工投资集团有限公司（本级）2025年度一般公共预算财政拨款支出合计10,581,995.28元，占本年支出合计的100.00%。与2024年度相比，一般公共预算财政拨款支出</w:t>
      </w:r>
      <w:r>
        <w:rPr>
          <w:rFonts w:eastAsia="仿宋_GB2312" w:hint="eastAsia"/>
          <w:sz w:val="30"/>
          <w:szCs w:val="30"/>
          <w:highlight w:val="none"/>
          <w:lang w:val="en-US" w:eastAsia="zh-CN"/>
        </w:rPr>
        <w:t xml:space="preserve">减少1,199,682.40元</w:t>
      </w:r>
      <w:r>
        <w:rPr>
          <w:rFonts w:eastAsia="仿宋_GB2312" w:hint="eastAsia"/>
          <w:sz w:val="30"/>
          <w:szCs w:val="30"/>
          <w:highlight w:val="none"/>
          <w:lang w:val="en-US" w:eastAsia="zh-CN"/>
        </w:rPr>
        <w:t xml:space="preserve">，下降10.18%</w:t>
      </w:r>
      <w:r>
        <w:rPr>
          <w:rFonts w:eastAsia="仿宋_GB2312" w:hint="eastAsia"/>
          <w:sz w:val="30"/>
          <w:szCs w:val="30"/>
          <w:highlight w:val="none"/>
          <w:lang w:val="en-US" w:eastAsia="zh-CN"/>
        </w:rPr>
        <w:t xml:space="preserve">，主要原因是离退休人员自然减员。</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2025年度一般公共预算财政拨款支出10,581,995.28元，主要用于以下方面：</w:t>
      </w:r>
      <w:r>
        <w:rPr>
          <w:rFonts w:eastAsia="仿宋_GB2312" w:hint="eastAsia"/>
          <w:sz w:val="30"/>
          <w:szCs w:val="30"/>
          <w:highlight w:val="none"/>
        </w:rPr>
        <w:t xml:space="preserve">社会保障和就业支出（类）支出4,380,895.28元，占41.40%，卫生健康支出（类）支出6,201,100.00元，占58.60%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2025年度一般公共预算财政拨款支出年初预算为2,307,000.00元，支出决算为10,581,995.28元</w:t>
      </w:r>
      <w:r>
        <w:rPr>
          <w:rFonts w:eastAsia="仿宋_GB2312" w:hint="eastAsia"/>
          <w:sz w:val="30"/>
          <w:szCs w:val="30"/>
          <w:highlight w:val="none"/>
          <w:lang w:val="en-US" w:eastAsia="zh-CN"/>
        </w:rPr>
        <w:t xml:space="preserve">，完成年初预算的294.45%</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行政事业单位养老支出（款）行政单位离退休（项）年初预算为2,207,000.00元，支出决算为2,188,148.48元，完成年初预算的99.15%，决算数小于年初预算数的主要原因是：离退休人员自然减员。</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2.社会保障和就业支出（类）其他社会保障和就业支出（款）其他社会保障和就业支出（项）年初预算为0.00元，支出决算为2,192,746.80元，决算数大于年初预算数的主要原因是：离休人员抚恤金按实际支出。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行政事业单位医疗（款）行政单位医疗（项）年初预算为100,000.00元，支出决算为195,300.00元，完成年初预算的195.30%，决算数大于年初预算数的主要原因是：行政单位离休人员医疗保障按实际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4.卫生健康支出（类）行政事业单位医疗（款）事业单位医疗（项）年初预算为0.00元，支出决算为6,005,800.00元，决算数大于年初预算数的主要原因是：事业单位离休人员医疗保障按实际支出</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天津渤海轻工投资集团有限公司（本级）2025年度一般公共预算财政拨款基本支出合计8,389,248.48元，与2024年度相比</w:t>
      </w:r>
      <w:r>
        <w:rPr>
          <w:rFonts w:eastAsia="仿宋_GB2312" w:hint="eastAsia"/>
          <w:sz w:val="30"/>
          <w:szCs w:val="30"/>
          <w:highlight w:val="none"/>
          <w:lang w:val="en-US" w:eastAsia="zh-CN"/>
        </w:rPr>
        <w:t xml:space="preserve">减少1,959,930.20元，</w:t>
      </w:r>
      <w:r>
        <w:rPr>
          <w:rFonts w:eastAsia="仿宋_GB2312" w:hint="eastAsia"/>
          <w:sz w:val="30"/>
          <w:szCs w:val="30"/>
          <w:highlight w:val="none"/>
          <w:lang w:val="en-US" w:eastAsia="zh-CN"/>
        </w:rPr>
        <w:t xml:space="preserve">主要原因是离退休人员自然减员。</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人员经费8,354,248.48元，主要包括</w:t>
      </w:r>
      <w:r>
        <w:rPr>
          <w:rFonts w:eastAsia="仿宋_GB2312" w:hint="eastAsia"/>
          <w:sz w:val="30"/>
          <w:szCs w:val="30"/>
          <w:highlight w:val="none"/>
          <w:lang w:val="en-US" w:eastAsia="zh-CN"/>
        </w:rPr>
        <w:t xml:space="preserve">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公用经费35,000.00元，主要包括</w:t>
      </w:r>
      <w:r>
        <w:rPr>
          <w:rFonts w:eastAsia="仿宋_GB2312" w:hint="eastAsia"/>
          <w:sz w:val="30"/>
          <w:szCs w:val="30"/>
          <w:highlight w:val="none"/>
          <w:lang w:val="en-US" w:eastAsia="zh-CN"/>
        </w:rPr>
        <w:t xml:space="preserve">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决算数与预算数持平的主要原因是天津渤海轻工投资集团有限公司(本级)2025年度无“三公”经费支出；</w:t>
      </w:r>
      <w:r>
        <w:rPr>
          <w:rFonts w:eastAsia="仿宋_GB2312" w:hint="eastAsia"/>
          <w:sz w:val="30"/>
          <w:szCs w:val="30"/>
          <w:highlight w:val="none"/>
          <w:lang w:val="en-US" w:eastAsia="zh-CN"/>
        </w:rPr>
        <w:t xml:space="preserve">决算数较上年持平的主要原因是天津渤海轻工投资集团有限公司(本级)2025年度无“三公”经费支出。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决算数与预算数持平的主要原因是天津渤海轻工投资集团有限公司(本级)本年度未用财政拨款经费列支因公出国（境）费；</w:t>
      </w:r>
      <w:r>
        <w:rPr>
          <w:rFonts w:eastAsia="仿宋_GB2312" w:hint="eastAsia"/>
          <w:sz w:val="30"/>
          <w:szCs w:val="30"/>
          <w:highlight w:val="none"/>
          <w:lang w:val="en-US" w:eastAsia="zh-CN"/>
        </w:rPr>
        <w:t xml:space="preserve">决算数较上年持平的主要原因是天津渤海轻工投资集团有限公司(本级)本年度未用财政拨款经费列支因公出国（境）费。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决算数与预算数持平的主要原因是天津渤海轻工投资集团有限公司(本级)本年度未用财政拨款经费列支公务用车购置及运行维护费；</w:t>
      </w:r>
      <w:r>
        <w:rPr>
          <w:rFonts w:eastAsia="仿宋_GB2312" w:hint="eastAsia"/>
          <w:sz w:val="30"/>
          <w:szCs w:val="30"/>
          <w:highlight w:val="none"/>
          <w:lang w:val="en-US" w:eastAsia="zh-CN"/>
        </w:rPr>
        <w:t xml:space="preserve">决算数较上年持平的主要原因是天津渤海轻工投资集团有限公司(本级)本年度未用财政拨款经费列支公务用车购置及运行维护费。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决算数与预算数持平的主要原因是天津渤海轻工投资集团有限公司(本级)本年度未用财政拨款经费列支公务用车运行维护费；</w:t>
      </w:r>
      <w:r>
        <w:rPr>
          <w:rFonts w:eastAsia="仿宋_GB2312" w:hint="eastAsia"/>
          <w:sz w:val="30"/>
          <w:szCs w:val="30"/>
          <w:highlight w:val="none"/>
          <w:lang w:val="en-US" w:eastAsia="zh-CN"/>
        </w:rPr>
        <w:t xml:space="preserve">决算数较上年持平的主要原因是天津渤海轻工投资集团有限公司(本级)本年度未用财政拨款经费列支公务用车运行维护费。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决算数与预算数持平的主要原因是天津渤海轻工投资集团有限公司(本级)本年度未用财政拨款经费列支公务用车购置费；</w:t>
      </w:r>
      <w:r>
        <w:rPr>
          <w:rFonts w:eastAsia="仿宋_GB2312" w:hint="eastAsia"/>
          <w:sz w:val="30"/>
          <w:szCs w:val="30"/>
          <w:highlight w:val="none"/>
          <w:lang w:val="en-US" w:eastAsia="zh-CN"/>
        </w:rPr>
        <w:t xml:space="preserve">决算数较上年持平的主要原因是天津渤海轻工投资集团有限公司(本级)本年度未用财政拨款经费列支公务用车购置费。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决算数与预算数持平的主要原因是天津渤海轻工投资集团有限公司(本级)本年度未用财政拨款经费列支公务接待费；</w:t>
      </w:r>
      <w:r>
        <w:rPr>
          <w:rFonts w:eastAsia="仿宋_GB2312" w:hint="eastAsia"/>
          <w:sz w:val="30"/>
          <w:szCs w:val="30"/>
          <w:highlight w:val="none"/>
          <w:lang w:val="en-US" w:eastAsia="zh-CN"/>
        </w:rPr>
        <w:t xml:space="preserve">决算数较上年持平的主要原因是天津渤海轻工投资集团有限公司(本级)本年度未用财政拨款经费列支公务接待费。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天津渤海轻工投资集团有限公司（本级）2025年度无国有资产占有使用情况。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根据预算绩效管理要求，天津渤海轻工投资集团有限公司（本级）已对3个2025年度市级项目开展绩效自评，涉及金额2192746.8元，自评结果已随部门决算一并公开。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天津渤海轻工投资集团有限公司（本级）不属于乡、镇、街级单位，不涉及公开2025年度教育、医疗卫生、社会保障和就业、住房保障、涉农补贴等民生支出情况。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6C07BB05-97D2-4D13-98F1-4B2AC7547FC4}"/>
    <w:embedBold r:id="rId2" w:subsetted="1" w:fontKey="{25766DA3-610F-4E16-8EFE-866CC05B0670}"/>
  </w:font>
  <w:font w:name="Cambria">
    <w:panose1 w:val="02040503050406030204"/>
    <w:charset w:val="00"/>
    <w:family w:val="roman"/>
    <w:pitch w:val="default"/>
    <w:sig w:usb0="E00006FF" w:usb1="420024FF" w:usb2="02000000" w:usb3="00000000" w:csb0="2000019F" w:csb1="00000000"/>
    <w:embedRegular r:id="rId3" w:fontKey="{7E081735-31CD-4A78-937D-0A86B5680186}"/>
  </w:font>
  <w:font w:name="Calibri">
    <w:panose1 w:val="020F0502020204030204"/>
    <w:charset w:val="00"/>
    <w:family w:val="swiss"/>
    <w:pitch w:val="default"/>
    <w:sig w:usb0="E4002EFF" w:usb1="C200247B" w:usb2="00000009" w:usb3="00000000" w:csb0="200001FF" w:csb1="00000000"/>
    <w:embedRegular r:id="rId4" w:fontKey="{9F4E23B2-D699-4180-9442-B58AC03D29BB}"/>
  </w:font>
  <w:font w:name="黑体">
    <w:panose1 w:val="02010609060101010101"/>
    <w:charset w:val="FFFFFF86"/>
    <w:family w:val="auto"/>
    <w:pitch w:val="default"/>
    <w:sig w:usb0="800002BF" w:usb1="38CF7CFA" w:usb2="00000016" w:usb3="00000000" w:csb0="00040001" w:csb1="00000000"/>
    <w:embedRegular r:id="rId5" w:subsetted="1" w:fontKey="{D6671EDC-BA17-4D7C-BB85-7D28FC64ECA0}"/>
    <w:embedBold r:id="rId6" w:subsetted="1" w:fontKey="{38E64674-3CB4-4816-8416-0A31039C0123}"/>
  </w:font>
  <w:font w:name="方正小标宋简体">
    <w:altName w:val="黑体"/>
    <w:panose1 w:val="02000000000000000000"/>
    <w:charset w:val="FFFFFF86"/>
    <w:family w:val="auto"/>
    <w:pitch w:val="default"/>
    <w:sig w:usb0="00000001" w:usb1="08000000" w:usb2="00000000" w:usb3="00000000" w:csb0="00040000" w:csb1="00000000"/>
    <w:embedRegular r:id="rId7" w:fontKey="{89BB4DE0-2C08-4A68-8486-841FF2F1F432}"/>
    <w:embedBold r:id="rId8" w:fontKey="{C731AF13-5187-4BD6-A829-B0F3EC5C1EC1}"/>
  </w:font>
  <w:font w:name="仿宋">
    <w:panose1 w:val="02010609060101010101"/>
    <w:charset w:val="FFFFFF86"/>
    <w:family w:val="auto"/>
    <w:pitch w:val="default"/>
    <w:sig w:usb0="800002BF" w:usb1="38CF7CFA" w:usb2="00000016" w:usb3="00000000" w:csb0="00040001" w:csb1="00000000"/>
    <w:embedRegular r:id="rId9" w:subsetted="1" w:fontKey="{17148F6B-C412-4B9E-BE30-F89B9B5F3759}"/>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40781E62-3224-42A0-9732-04F105090675}"/>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5FEF1E0E-CD18-441C-832E-5D152397CE8F}"/>
    <w:embedBold r:id="rId12" w:subsetted="1" w:fontKey="{FE806574-5631-48A4-9CB4-309E93ED7AC9}"/>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24</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27</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